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附件：学校信息公开清单事项公开情况表</w:t>
      </w:r>
    </w:p>
    <w:tbl>
      <w:tblPr>
        <w:tblStyle w:val="2"/>
        <w:tblW w:w="13872" w:type="dxa"/>
        <w:tblInd w:w="91" w:type="dxa"/>
        <w:tblLayout w:type="fixed"/>
        <w:tblCellMar>
          <w:top w:w="28" w:type="dxa"/>
          <w:left w:w="57" w:type="dxa"/>
          <w:bottom w:w="28" w:type="dxa"/>
          <w:right w:w="57" w:type="dxa"/>
        </w:tblCellMar>
      </w:tblPr>
      <w:tblGrid>
        <w:gridCol w:w="521"/>
        <w:gridCol w:w="1144"/>
        <w:gridCol w:w="6112"/>
        <w:gridCol w:w="6095"/>
      </w:tblGrid>
      <w:tr>
        <w:tblPrEx>
          <w:tblCellMar>
            <w:top w:w="28" w:type="dxa"/>
            <w:left w:w="57" w:type="dxa"/>
            <w:bottom w:w="28" w:type="dxa"/>
            <w:right w:w="57" w:type="dxa"/>
          </w:tblCellMar>
        </w:tblPrEx>
        <w:trPr>
          <w:trHeight w:val="695" w:hRule="atLeast"/>
          <w:tblHeader/>
        </w:trPr>
        <w:tc>
          <w:tcPr>
            <w:tcW w:w="521" w:type="dxa"/>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b/>
                <w:color w:val="333333"/>
                <w:kern w:val="0"/>
                <w:sz w:val="24"/>
                <w:szCs w:val="24"/>
              </w:rPr>
            </w:pPr>
            <w:r>
              <w:rPr>
                <w:rFonts w:hint="eastAsia" w:ascii="仿宋_GB2312" w:hAnsi="微软雅黑" w:eastAsia="仿宋_GB2312" w:cs="宋体"/>
                <w:b/>
                <w:color w:val="333333"/>
                <w:kern w:val="0"/>
                <w:sz w:val="24"/>
                <w:szCs w:val="24"/>
              </w:rPr>
              <w:t>序号</w:t>
            </w:r>
          </w:p>
        </w:tc>
        <w:tc>
          <w:tcPr>
            <w:tcW w:w="1144" w:type="dxa"/>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b/>
                <w:color w:val="333333"/>
                <w:kern w:val="0"/>
                <w:sz w:val="24"/>
                <w:szCs w:val="24"/>
              </w:rPr>
            </w:pPr>
            <w:r>
              <w:rPr>
                <w:rFonts w:hint="eastAsia" w:ascii="仿宋_GB2312" w:hAnsi="微软雅黑" w:eastAsia="仿宋_GB2312" w:cs="宋体"/>
                <w:b/>
                <w:color w:val="333333"/>
                <w:kern w:val="0"/>
                <w:sz w:val="24"/>
                <w:szCs w:val="24"/>
              </w:rPr>
              <w:t>类别</w:t>
            </w:r>
          </w:p>
        </w:tc>
        <w:tc>
          <w:tcPr>
            <w:tcW w:w="611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b/>
                <w:color w:val="333333"/>
                <w:kern w:val="0"/>
                <w:sz w:val="24"/>
                <w:szCs w:val="24"/>
                <w:lang w:eastAsia="zh-CN"/>
              </w:rPr>
            </w:pPr>
            <w:r>
              <w:rPr>
                <w:rFonts w:hint="eastAsia" w:ascii="仿宋_GB2312" w:hAnsi="微软雅黑" w:eastAsia="仿宋_GB2312" w:cs="宋体"/>
                <w:b/>
                <w:color w:val="333333"/>
                <w:kern w:val="0"/>
                <w:sz w:val="24"/>
                <w:szCs w:val="24"/>
              </w:rPr>
              <w:t>公开</w:t>
            </w:r>
            <w:r>
              <w:rPr>
                <w:rFonts w:hint="eastAsia" w:ascii="仿宋_GB2312" w:hAnsi="微软雅黑" w:eastAsia="仿宋_GB2312" w:cs="宋体"/>
                <w:b/>
                <w:color w:val="333333"/>
                <w:kern w:val="0"/>
                <w:sz w:val="24"/>
                <w:szCs w:val="24"/>
                <w:lang w:val="en-US" w:eastAsia="zh-CN"/>
              </w:rPr>
              <w:t>事项</w:t>
            </w:r>
          </w:p>
        </w:tc>
        <w:tc>
          <w:tcPr>
            <w:tcW w:w="6095" w:type="dxa"/>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b/>
                <w:color w:val="333333"/>
                <w:kern w:val="0"/>
                <w:sz w:val="24"/>
                <w:szCs w:val="24"/>
              </w:rPr>
            </w:pPr>
            <w:r>
              <w:rPr>
                <w:rFonts w:hint="eastAsia" w:ascii="仿宋_GB2312" w:hAnsi="微软雅黑" w:eastAsia="仿宋_GB2312" w:cs="宋体"/>
                <w:b/>
                <w:color w:val="333333"/>
                <w:kern w:val="0"/>
                <w:sz w:val="24"/>
                <w:szCs w:val="24"/>
              </w:rPr>
              <w:t>公开内容</w:t>
            </w:r>
          </w:p>
        </w:tc>
      </w:tr>
      <w:tr>
        <w:tblPrEx>
          <w:tblCellMar>
            <w:top w:w="28" w:type="dxa"/>
            <w:left w:w="57" w:type="dxa"/>
            <w:bottom w:w="28" w:type="dxa"/>
            <w:right w:w="57" w:type="dxa"/>
          </w:tblCellMar>
        </w:tblPrEx>
        <w:trPr>
          <w:trHeight w:val="850" w:hRule="exact"/>
        </w:trPr>
        <w:tc>
          <w:tcPr>
            <w:tcW w:w="521" w:type="dxa"/>
            <w:vMerge w:val="restart"/>
            <w:tcBorders>
              <w:top w:val="nil"/>
              <w:left w:val="single" w:color="auto" w:sz="4" w:space="0"/>
              <w:bottom w:val="nil"/>
              <w:right w:val="single" w:color="auto" w:sz="4" w:space="0"/>
            </w:tcBorders>
            <w:noWrap w:val="0"/>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144" w:type="dxa"/>
            <w:vMerge w:val="restart"/>
            <w:tcBorders>
              <w:top w:val="nil"/>
              <w:left w:val="single" w:color="auto" w:sz="4" w:space="0"/>
              <w:bottom w:val="nil"/>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基本信息（6项）</w:t>
            </w: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（1）办学规模、校级领导班子简介及分工、学校机构设置、学科情况、专业情况、各类在校生情况、教师和专业技术人员数量等办学基本情况</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http://xxgkw.whpu.edu.cn/zdgk1/jbxx/bxgm_xjldbzjjjfg_xxjgsz_xkqk_zyqk_glzxsqk_jshzyjsr.htm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nil"/>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nil"/>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（2）学校章程及制定的各项规章制度</w:t>
            </w:r>
          </w:p>
        </w:tc>
        <w:tc>
          <w:tcPr>
            <w:tcW w:w="6095" w:type="dxa"/>
            <w:tcBorders>
              <w:top w:val="nil"/>
              <w:left w:val="single" w:color="auto" w:sz="4" w:space="0"/>
              <w:bottom w:val="single" w:color="000000"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http://xxgkw.whpu.edu.cn/zdgk1/jbxx/xxzcjzddgxgzzd.htm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nil"/>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nil"/>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w:t>
            </w:r>
            <w:r>
              <w:rPr>
                <w:rFonts w:hint="eastAsia" w:ascii="仿宋_GB2312" w:hAnsi="微软雅黑" w:eastAsia="仿宋_GB2312" w:cs="宋体"/>
                <w:color w:val="333333"/>
                <w:kern w:val="0"/>
                <w:sz w:val="21"/>
                <w:szCs w:val="21"/>
                <w:lang w:val="en-US" w:eastAsia="zh-CN"/>
              </w:rPr>
              <w:t>3</w:t>
            </w:r>
            <w:r>
              <w:rPr>
                <w:rFonts w:hint="eastAsia" w:ascii="仿宋_GB2312" w:hAnsi="微软雅黑" w:eastAsia="仿宋_GB2312" w:cs="宋体"/>
                <w:color w:val="333333"/>
                <w:kern w:val="0"/>
                <w:sz w:val="21"/>
                <w:szCs w:val="21"/>
              </w:rPr>
              <w:t>）教职工代表大会相关制度、工作报告</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http://xxgkw.whpu.edu.cn/zdgk1/jbxx/jzgdbdhxgzd_gzbg.htm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nil"/>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nil"/>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（4）学术委员会相关制度、年度报告</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http://xxgkw.whpu.edu.cn/zdgk1/jbxx/xswyhxgzd_ndbg.htm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nil"/>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nil"/>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（5）学校发展规划、年度工作计划及重点工作安排</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http://xxgkw.whpu.edu.cn/zdgk1/jbxx/xxfzgh_ndgzjhjzdgzap.htm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nil"/>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nil"/>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（6）信息公开年度报告</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http://xxgkw.whpu.edu.cn/zdgk1/jbxx/xxgkndbg.htm</w:t>
            </w:r>
          </w:p>
        </w:tc>
      </w:tr>
      <w:tr>
        <w:tblPrEx>
          <w:tblCellMar>
            <w:top w:w="28" w:type="dxa"/>
            <w:left w:w="57" w:type="dxa"/>
            <w:bottom w:w="28" w:type="dxa"/>
            <w:right w:w="57" w:type="dxa"/>
          </w:tblCellMar>
        </w:tblPrEx>
        <w:trPr>
          <w:trHeight w:val="850" w:hRule="exact"/>
        </w:trPr>
        <w:tc>
          <w:tcPr>
            <w:tcW w:w="52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both"/>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lang w:eastAsia="zh-CN"/>
              </w:rPr>
            </w:pPr>
            <w:r>
              <w:rPr>
                <w:rFonts w:hint="eastAsia" w:ascii="宋体" w:hAnsi="宋体" w:eastAsia="仿宋_GB2312" w:cs="宋体"/>
                <w:color w:val="000000"/>
                <w:kern w:val="0"/>
                <w:sz w:val="22"/>
                <w:szCs w:val="22"/>
                <w:lang w:val="en-US" w:eastAsia="zh-CN"/>
              </w:rPr>
              <w:t>2</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lang w:val="en-US" w:eastAsia="zh-CN"/>
              </w:rPr>
            </w:pPr>
            <w:r>
              <w:rPr>
                <w:rFonts w:hint="eastAsia" w:ascii="仿宋_GB2312" w:hAnsi="微软雅黑" w:eastAsia="仿宋_GB2312" w:cs="宋体"/>
                <w:color w:val="333333"/>
                <w:kern w:val="0"/>
                <w:sz w:val="21"/>
                <w:szCs w:val="21"/>
                <w:lang w:val="en-US" w:eastAsia="zh-CN"/>
              </w:rPr>
              <w:t>2</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114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招生考试信息</w:t>
            </w:r>
            <w:r>
              <w:rPr>
                <w:rFonts w:hint="eastAsia" w:ascii="仿宋_GB2312" w:hAnsi="微软雅黑" w:eastAsia="仿宋_GB2312" w:cs="宋体"/>
                <w:color w:val="333333"/>
                <w:kern w:val="0"/>
                <w:sz w:val="21"/>
                <w:szCs w:val="21"/>
              </w:rPr>
              <w:br w:type="textWrapping"/>
            </w:r>
            <w:r>
              <w:rPr>
                <w:rFonts w:hint="eastAsia" w:ascii="仿宋_GB2312" w:hAnsi="微软雅黑" w:eastAsia="仿宋_GB2312" w:cs="宋体"/>
                <w:color w:val="333333"/>
                <w:kern w:val="0"/>
                <w:sz w:val="21"/>
                <w:szCs w:val="21"/>
              </w:rPr>
              <w:t>  （8项）</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招生考试信息</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（8项）</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（7）招生章程及特殊类型招生办法，分批次、分科类招生计划</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http://xxgkw.whpu.edu.cn/zdgk1/zsksxx/zszcjtslxzsbf_fpc_fklzsjh.htm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（8）保送、自主选拔录取、高水平运动员和艺术特长生招生等特殊类型招生入选考生资格及测试结果</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http://xxgkw.whpu.edu.cn/zdgk1/zsksxx/bs_zzxblq_gspydyhystzszsdtslxzsrxkszgjcsjg.htm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（9）考生个人录取信息查询渠道和办法，分批次、分科类录取人数和录取最低分</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http://xxgkw.whpu.edu.cn/zdgk1/zsksxx/ksgrlqxxcxqdhbf_fpc_fkllqrshlqzdf.htm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（10）招生咨询及考生申诉渠道，新生复查期间有关举报、调查及处理结果</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http://xxgkw.whpu.edu.cn/zdgk1/zsksxx/zszxjksssqd_xsfcqjygjb_dcjcljg.htm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（11）研究生招生简章、招生专业目录、复试录取办法，各院（系、所）或学科、专业招收研究生人数</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http://xxgkw.whpu.edu.cn/zdgk1/zsksxx/yjszsjz_zszyml_fslqbf_gy_x_s_hxk_zyzsyjsrs.htm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（12）参加研究生复试的考生成绩</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http://xxgkw.whpu.edu.cn/zdgk1/zsksxx/cjyjsfsdkscj.htm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（13）拟录取研究生名单</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http://xxgkw.whpu.edu.cn/zdgk1/zsksxx/nlqyjsmd.htm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（14）研究生招生咨询及申诉渠道</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http://xxgkw.whpu.edu.cn/zdgk1/zsksxx/yjszszxjssqd.htm</w:t>
            </w:r>
          </w:p>
        </w:tc>
      </w:tr>
      <w:tr>
        <w:tblPrEx>
          <w:tblCellMar>
            <w:top w:w="28" w:type="dxa"/>
            <w:left w:w="57" w:type="dxa"/>
            <w:bottom w:w="28" w:type="dxa"/>
            <w:right w:w="57" w:type="dxa"/>
          </w:tblCellMar>
        </w:tblPrEx>
        <w:trPr>
          <w:trHeight w:val="850" w:hRule="exact"/>
        </w:trPr>
        <w:tc>
          <w:tcPr>
            <w:tcW w:w="52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ind w:firstLine="210" w:firstLineChars="100"/>
              <w:jc w:val="both"/>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w:t>
            </w:r>
          </w:p>
        </w:tc>
        <w:tc>
          <w:tcPr>
            <w:tcW w:w="114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both"/>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财务、资产及收费信息</w:t>
            </w:r>
            <w:r>
              <w:rPr>
                <w:rFonts w:hint="eastAsia" w:ascii="仿宋_GB2312" w:hAnsi="微软雅黑" w:eastAsia="仿宋_GB2312" w:cs="宋体"/>
                <w:color w:val="333333"/>
                <w:kern w:val="0"/>
                <w:sz w:val="21"/>
                <w:szCs w:val="21"/>
              </w:rPr>
              <w:br w:type="textWrapping"/>
            </w:r>
            <w:r>
              <w:rPr>
                <w:rFonts w:hint="eastAsia" w:ascii="仿宋_GB2312" w:hAnsi="微软雅黑" w:eastAsia="仿宋_GB2312" w:cs="宋体"/>
                <w:color w:val="333333"/>
                <w:kern w:val="0"/>
                <w:sz w:val="21"/>
                <w:szCs w:val="21"/>
              </w:rPr>
              <w:t>  （7项）</w:t>
            </w:r>
          </w:p>
        </w:tc>
        <w:tc>
          <w:tcPr>
            <w:tcW w:w="611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（15）财务、资产管理制度</w:t>
            </w:r>
          </w:p>
        </w:tc>
        <w:tc>
          <w:tcPr>
            <w:tcW w:w="609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http://xxgkw.whpu.edu.cn/zdgk1/cw_zcjsfxx/cw_zcglzd/cw_zcglzd.htm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（16）受捐赠财产的使用与管理情况</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http://xxgkw.whpu.edu.cn/zdgk1/cw_zcjsfxx/sjzccdsyyglqk.htm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（17）校办企业资产、负债、国有资产保值增值等信息</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http://xxgkw.whpu.edu.cn/zdgk1/cw_zcjsfxx/xbqyzc_fz_gyzcbzzzdxx.htm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（18）仪器设备、图书、药品等物资设备采购和重大基建工程的招投标</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http://xxgkw.whpu.edu.cn/zdgk1/cw_zcjsfxx/yqsb_ts_ypdwzsbcghzdjjgcdztb.htm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（19）收支预算总表、收入预算表、支出预算表、财政拨款支出预算表</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http://xxgkw.whpu.edu.cn/zdgk1/cw_zcjsfxx/szyszb_srysb_zcysb_czbkzcysb.htm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（20）收支决算总表、收入决算表、支出决算表、财政拨款支出决算表</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http://xxgkw.whpu.edu.cn/zdgk1/cw_zcjsfxx/szjszb_srjsb_zcjsb_czbkzcjsb.htm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（21）收费项目、收费依据、收费标准及投诉方式</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http://xxgkw.whpu.edu.cn/zdgk1/cw_zcjsfxx/sfxm_sfyj_sfbzjtsfs.htm</w:t>
            </w:r>
          </w:p>
        </w:tc>
      </w:tr>
      <w:tr>
        <w:tblPrEx>
          <w:tblCellMar>
            <w:top w:w="28" w:type="dxa"/>
            <w:left w:w="57" w:type="dxa"/>
            <w:bottom w:w="28" w:type="dxa"/>
            <w:right w:w="57" w:type="dxa"/>
          </w:tblCellMar>
        </w:tblPrEx>
        <w:trPr>
          <w:trHeight w:val="850" w:hRule="exact"/>
        </w:trPr>
        <w:tc>
          <w:tcPr>
            <w:tcW w:w="521" w:type="dxa"/>
            <w:vMerge w:val="restart"/>
            <w:tcBorders>
              <w:top w:val="nil"/>
              <w:left w:val="single" w:color="auto" w:sz="4" w:space="0"/>
              <w:right w:val="single" w:color="auto" w:sz="4" w:space="0"/>
            </w:tcBorders>
            <w:noWrap w:val="0"/>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144" w:type="dxa"/>
            <w:vMerge w:val="restart"/>
            <w:tcBorders>
              <w:top w:val="nil"/>
              <w:left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人事师资信息</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（5项）</w:t>
            </w: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（22）校级领导干部社会兼职情况</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http://xxgkw.whpu.edu.cn/zdgk1/rsszxx/xjldgbshjzqk.htm</w:t>
            </w:r>
          </w:p>
        </w:tc>
      </w:tr>
      <w:tr>
        <w:tblPrEx>
          <w:tblCellMar>
            <w:top w:w="28" w:type="dxa"/>
            <w:left w:w="57" w:type="dxa"/>
            <w:bottom w:w="28" w:type="dxa"/>
            <w:right w:w="57" w:type="dxa"/>
          </w:tblCellMar>
        </w:tblPrEx>
        <w:trPr>
          <w:trHeight w:val="850" w:hRule="exact"/>
        </w:trPr>
        <w:tc>
          <w:tcPr>
            <w:tcW w:w="521" w:type="dxa"/>
            <w:vMerge w:val="continue"/>
            <w:tcBorders>
              <w:left w:val="single" w:color="auto"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left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（23）校级领导干部因公出国（境）情况</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http://xxgkw.whpu.edu.cn/zdgk1/rsszxx/xjldgbygcg_j_qk.htm</w:t>
            </w:r>
          </w:p>
        </w:tc>
      </w:tr>
      <w:tr>
        <w:tblPrEx>
          <w:tblCellMar>
            <w:top w:w="28" w:type="dxa"/>
            <w:left w:w="57" w:type="dxa"/>
            <w:bottom w:w="28" w:type="dxa"/>
            <w:right w:w="57" w:type="dxa"/>
          </w:tblCellMar>
        </w:tblPrEx>
        <w:trPr>
          <w:trHeight w:val="850" w:hRule="exact"/>
        </w:trPr>
        <w:tc>
          <w:tcPr>
            <w:tcW w:w="521" w:type="dxa"/>
            <w:vMerge w:val="continue"/>
            <w:tcBorders>
              <w:left w:val="single" w:color="auto"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left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（24）岗位设置管理与聘用办法</w:t>
            </w:r>
          </w:p>
        </w:tc>
        <w:tc>
          <w:tcPr>
            <w:tcW w:w="6095" w:type="dxa"/>
            <w:tcBorders>
              <w:top w:val="single" w:color="auto" w:sz="4" w:space="0"/>
              <w:left w:val="single" w:color="auto" w:sz="4" w:space="0"/>
              <w:bottom w:val="single" w:color="000000"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http://xxgkw.whpu.edu.cn/zdgk1/rsszxx/gwszglypybf.ht</w:t>
            </w:r>
          </w:p>
        </w:tc>
      </w:tr>
      <w:tr>
        <w:tblPrEx>
          <w:tblCellMar>
            <w:top w:w="28" w:type="dxa"/>
            <w:left w:w="57" w:type="dxa"/>
            <w:bottom w:w="28" w:type="dxa"/>
            <w:right w:w="57" w:type="dxa"/>
          </w:tblCellMar>
        </w:tblPrEx>
        <w:trPr>
          <w:trHeight w:val="850" w:hRule="exact"/>
        </w:trPr>
        <w:tc>
          <w:tcPr>
            <w:tcW w:w="521" w:type="dxa"/>
            <w:vMerge w:val="continue"/>
            <w:tcBorders>
              <w:left w:val="single" w:color="auto"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left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（25）校内中层干部任免、人员招聘信息</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http://xxgkw.whpu.edu.cn/zdgk1/rsszxx/xnzcgbrm_ryzpxx.htm</w:t>
            </w:r>
          </w:p>
        </w:tc>
      </w:tr>
      <w:tr>
        <w:tblPrEx>
          <w:tblCellMar>
            <w:top w:w="28" w:type="dxa"/>
            <w:left w:w="57" w:type="dxa"/>
            <w:bottom w:w="28" w:type="dxa"/>
            <w:right w:w="57" w:type="dxa"/>
          </w:tblCellMar>
        </w:tblPrEx>
        <w:trPr>
          <w:trHeight w:val="850" w:hRule="exact"/>
        </w:trPr>
        <w:tc>
          <w:tcPr>
            <w:tcW w:w="521" w:type="dxa"/>
            <w:vMerge w:val="continue"/>
            <w:tcBorders>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（26）教职工争议解决办法</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http://xxgkw.whpu.edu.cn/zdgk1/rsszxx/jzgzyjjbf.htm</w:t>
            </w:r>
          </w:p>
        </w:tc>
      </w:tr>
      <w:tr>
        <w:tblPrEx>
          <w:tblCellMar>
            <w:top w:w="28" w:type="dxa"/>
            <w:left w:w="57" w:type="dxa"/>
            <w:bottom w:w="28" w:type="dxa"/>
            <w:right w:w="57" w:type="dxa"/>
          </w:tblCellMar>
        </w:tblPrEx>
        <w:trPr>
          <w:trHeight w:val="850" w:hRule="exact"/>
        </w:trPr>
        <w:tc>
          <w:tcPr>
            <w:tcW w:w="521" w:type="dxa"/>
            <w:vMerge w:val="restart"/>
            <w:tcBorders>
              <w:top w:val="nil"/>
              <w:left w:val="single" w:color="auto" w:sz="4" w:space="0"/>
              <w:bottom w:val="single" w:color="000000" w:sz="4" w:space="0"/>
              <w:right w:val="single" w:color="auto" w:sz="4" w:space="0"/>
            </w:tcBorders>
            <w:noWrap w:val="0"/>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144" w:type="dxa"/>
            <w:vMerge w:val="restart"/>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教学质量信息</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（9项）</w:t>
            </w: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（27）本科生占全日制在校生总数的比例、教师数量及结构</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http://xxgkw.whpu.edu.cn/info/1180/1997.htm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（28）专业设置、当年新增专业、停招专业名单</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http://xxgkw.whpu.edu.cn/zdgk1/jxzlxx/zysz_dnxzzy_tzzymd.htm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（29）全校开设课程总门数、实践教学学分占总学分比例、选修课学分占总学分比例</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http://xxgkw.whpu.edu.cn/zdgk1/jxzlxx/qxkskczms_sjjxxfzzxfbl_xxkxfzzxfbl.htm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（30）主讲本科课程的教授占教授总数的比例、教授授本科课程占课程总门次数的比例</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http://xxgkw.whpu.edu.cn/zdgk1/jxzlxx/zjbkkcdjszjszsdbl_jssbkkczkczmcsdbl.htm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（31）促进毕业生就业的政策措施和指导服务</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http://xxgkw.whpu.edu.cn/zdgk1/jxzlxx/cjbysjydzccshzdfw.htm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（32）毕业生的规模、结构、就业率、就业流向</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http://xxgkw.whpu.edu.cn/zdgk1/jxzlxx/bysdgm_jg_jyl_jylx.htm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（33）高校毕业生就业质量年度报告</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http://xxgkw.whpu.edu.cn/zdgk1/jxzlxx/gxbysjyzlndbg.htm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（34）艺术教育发展年度报告</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http://xxgkw.whpu.edu.cn/zdgk1/jxzlxx/ysjyfzndbg.htm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（35）本科教学质量报告</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http://xxgkw.whpu.edu.cn/info/1198/2362.htm</w:t>
            </w:r>
          </w:p>
        </w:tc>
      </w:tr>
      <w:tr>
        <w:tblPrEx>
          <w:tblCellMar>
            <w:top w:w="28" w:type="dxa"/>
            <w:left w:w="57" w:type="dxa"/>
            <w:bottom w:w="28" w:type="dxa"/>
            <w:right w:w="57" w:type="dxa"/>
          </w:tblCellMar>
        </w:tblPrEx>
        <w:trPr>
          <w:trHeight w:val="850" w:hRule="exact"/>
        </w:trPr>
        <w:tc>
          <w:tcPr>
            <w:tcW w:w="521"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p>
            <w:pPr>
              <w:widowControl/>
              <w:snapToGrid w:val="0"/>
              <w:jc w:val="center"/>
              <w:rPr>
                <w:rFonts w:hint="eastAsia" w:ascii="宋体" w:hAnsi="宋体" w:cs="宋体"/>
                <w:color w:val="000000"/>
                <w:kern w:val="0"/>
                <w:sz w:val="22"/>
                <w:szCs w:val="22"/>
              </w:rPr>
            </w:pPr>
          </w:p>
          <w:p>
            <w:pPr>
              <w:widowControl/>
              <w:snapToGrid w:val="0"/>
              <w:jc w:val="center"/>
              <w:rPr>
                <w:rFonts w:hint="eastAsia" w:ascii="宋体" w:hAnsi="宋体" w:cs="宋体"/>
                <w:color w:val="000000"/>
                <w:kern w:val="0"/>
                <w:sz w:val="22"/>
                <w:szCs w:val="22"/>
              </w:rPr>
            </w:pPr>
          </w:p>
          <w:p>
            <w:pPr>
              <w:widowControl/>
              <w:snapToGrid w:val="0"/>
              <w:jc w:val="center"/>
              <w:rPr>
                <w:rFonts w:hint="eastAsia" w:ascii="宋体" w:hAnsi="宋体" w:cs="宋体"/>
                <w:color w:val="000000"/>
                <w:kern w:val="0"/>
                <w:sz w:val="22"/>
                <w:szCs w:val="22"/>
              </w:rPr>
            </w:pPr>
          </w:p>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144" w:type="dxa"/>
            <w:vMerge w:val="restart"/>
            <w:tcBorders>
              <w:top w:val="single" w:color="auto" w:sz="4" w:space="0"/>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学生管理服务信息</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（4项）</w:t>
            </w:r>
          </w:p>
        </w:tc>
        <w:tc>
          <w:tcPr>
            <w:tcW w:w="611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（36）学籍管理办法</w:t>
            </w:r>
          </w:p>
        </w:tc>
        <w:tc>
          <w:tcPr>
            <w:tcW w:w="609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http://xxgkw.whpu.edu.cn/zdgk1/xsglfwxx/xjglbf.htm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（37）学生奖学金、助学金、学费减免、助学贷款、勤工俭学的申请与管理规定</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http://xxgkw.whpu.edu.cn/zdgk1/xsglfwxx/xsjxj_zxj_xfjm_zxdk_qgjxdsqyglgd.htm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（38）学生奖励处罚办法</w:t>
            </w:r>
          </w:p>
        </w:tc>
        <w:tc>
          <w:tcPr>
            <w:tcW w:w="6095" w:type="dxa"/>
            <w:tcBorders>
              <w:top w:val="nil"/>
              <w:left w:val="single" w:color="auto" w:sz="4" w:space="0"/>
              <w:bottom w:val="single" w:color="000000"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http://xxgkw.whpu.edu.cn/zdgk1/xsglfwxx/xsjlcfbf.htm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（39）学生申诉办法</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http://xxgkw.whpu.edu.cn/zdgk1/xsglfwxx/xsssbf.htm</w:t>
            </w:r>
          </w:p>
        </w:tc>
      </w:tr>
      <w:tr>
        <w:tblPrEx>
          <w:tblCellMar>
            <w:top w:w="28" w:type="dxa"/>
            <w:left w:w="57" w:type="dxa"/>
            <w:bottom w:w="28" w:type="dxa"/>
            <w:right w:w="57" w:type="dxa"/>
          </w:tblCellMar>
        </w:tblPrEx>
        <w:trPr>
          <w:trHeight w:val="850" w:hRule="exact"/>
        </w:trPr>
        <w:tc>
          <w:tcPr>
            <w:tcW w:w="521" w:type="dxa"/>
            <w:vMerge w:val="restart"/>
            <w:tcBorders>
              <w:top w:val="nil"/>
              <w:left w:val="single" w:color="auto" w:sz="4" w:space="0"/>
              <w:bottom w:val="single" w:color="000000" w:sz="4" w:space="0"/>
              <w:right w:val="single" w:color="auto" w:sz="4" w:space="0"/>
            </w:tcBorders>
            <w:noWrap w:val="0"/>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144" w:type="dxa"/>
            <w:vMerge w:val="restart"/>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学风建设信息</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（3项）</w:t>
            </w: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（40）学风建设机构</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http://xxgkw.whpu.edu.cn/zdgk1/xfjsxx/xfjsjg.htm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000000"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000000"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（41）学术规范制度</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http://xxgkw.whpu.edu.cn/zdgk1/xfjsxx/xsgfzd.htm</w:t>
            </w:r>
          </w:p>
        </w:tc>
      </w:tr>
      <w:tr>
        <w:tblPrEx>
          <w:tblCellMar>
            <w:top w:w="28" w:type="dxa"/>
            <w:left w:w="57" w:type="dxa"/>
            <w:bottom w:w="28" w:type="dxa"/>
            <w:right w:w="57" w:type="dxa"/>
          </w:tblCellMar>
        </w:tblPrEx>
        <w:trPr>
          <w:trHeight w:val="850" w:hRule="exact"/>
        </w:trPr>
        <w:tc>
          <w:tcPr>
            <w:tcW w:w="521" w:type="dxa"/>
            <w:vMerge w:val="continue"/>
            <w:tcBorders>
              <w:top w:val="nil"/>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（42）学术不端行为查处机制</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http://xxgkw.whpu.edu.cn/zdgk1/xfjsxx/xsbdxwccjz.htm</w:t>
            </w:r>
          </w:p>
        </w:tc>
      </w:tr>
      <w:tr>
        <w:tblPrEx>
          <w:tblCellMar>
            <w:top w:w="28" w:type="dxa"/>
            <w:left w:w="57" w:type="dxa"/>
            <w:bottom w:w="28" w:type="dxa"/>
            <w:right w:w="57" w:type="dxa"/>
          </w:tblCellMar>
        </w:tblPrEx>
        <w:trPr>
          <w:trHeight w:val="850" w:hRule="exact"/>
        </w:trPr>
        <w:tc>
          <w:tcPr>
            <w:tcW w:w="5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8</w:t>
            </w:r>
          </w:p>
        </w:tc>
        <w:tc>
          <w:tcPr>
            <w:tcW w:w="11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学位、学科信息</w:t>
            </w:r>
          </w:p>
          <w:p>
            <w:pPr>
              <w:widowControl/>
              <w:spacing w:before="100" w:beforeAutospacing="1" w:after="100" w:afterAutospacing="1" w:line="240" w:lineRule="exact"/>
              <w:jc w:val="center"/>
              <w:rPr>
                <w:rFonts w:hint="eastAsia" w:ascii="宋体" w:hAnsi="宋体" w:cs="宋体"/>
                <w:color w:val="000000"/>
                <w:kern w:val="0"/>
                <w:sz w:val="22"/>
                <w:szCs w:val="22"/>
              </w:rPr>
            </w:pPr>
            <w:r>
              <w:rPr>
                <w:rFonts w:hint="eastAsia" w:ascii="仿宋_GB2312" w:hAnsi="微软雅黑" w:eastAsia="仿宋_GB2312" w:cs="宋体"/>
                <w:color w:val="333333"/>
                <w:kern w:val="0"/>
                <w:sz w:val="21"/>
                <w:szCs w:val="21"/>
              </w:rPr>
              <w:t>（4项）</w:t>
            </w: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（43）授予博士、硕士、学士学位的基本要求</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http://xxgkw.whpu.edu.cn/zdgk1/xw_xkxx/sybs_ss_xsxwdjbyq.htm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tc>
        <w:tc>
          <w:tcPr>
            <w:tcW w:w="11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（44）拟授予硕士、博士学位同等学力人员资格审查和学力水平认定</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http://xxgkw.whpu.edu.cn/zdgk1/xw_xkxx/nsyss_bsxwtdxlryzgschxlsprd.htm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tc>
        <w:tc>
          <w:tcPr>
            <w:tcW w:w="11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（45）新增硕士、博士学位授权学科或专业学位授权点审核办法</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http://xxgkw.whpu.edu.cn/zdgk1/xw_xkxx/xzss_bsxwsqxkhzyxwsqdshbf.htm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tc>
        <w:tc>
          <w:tcPr>
            <w:tcW w:w="11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p>
        </w:tc>
        <w:tc>
          <w:tcPr>
            <w:tcW w:w="6112" w:type="dxa"/>
            <w:tcBorders>
              <w:top w:val="single" w:color="auto" w:sz="4" w:space="0"/>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（46）拟新增学位授权学科或专业学位授权点的申报及论证材料</w:t>
            </w:r>
          </w:p>
        </w:tc>
        <w:tc>
          <w:tcPr>
            <w:tcW w:w="6095" w:type="dxa"/>
            <w:tcBorders>
              <w:top w:val="single" w:color="auto" w:sz="4" w:space="0"/>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http://xxgkw.whpu.edu.cn/zdgk1/xw_xkxx/nxzxwsqxkhzyxwsqddsbjlzcl.htm</w:t>
            </w:r>
          </w:p>
        </w:tc>
      </w:tr>
      <w:tr>
        <w:tblPrEx>
          <w:tblCellMar>
            <w:top w:w="28" w:type="dxa"/>
            <w:left w:w="57" w:type="dxa"/>
            <w:bottom w:w="28" w:type="dxa"/>
            <w:right w:w="57" w:type="dxa"/>
          </w:tblCellMar>
        </w:tblPrEx>
        <w:trPr>
          <w:trHeight w:val="850" w:hRule="exact"/>
        </w:trPr>
        <w:tc>
          <w:tcPr>
            <w:tcW w:w="5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1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对外交流与合作信息</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（2项）</w:t>
            </w: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（47）中外合作办学情况</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http://xxgkw.whpu.edu.cn/zdgk1/dwjlyhzxx.htm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nil"/>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（48）来华留学生管理相关规定</w:t>
            </w:r>
          </w:p>
        </w:tc>
        <w:tc>
          <w:tcPr>
            <w:tcW w:w="6095" w:type="dxa"/>
            <w:tcBorders>
              <w:top w:val="nil"/>
              <w:left w:val="nil"/>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http://xxgkw.whpu.edu.cn/zdgk1/dwjlyhzxx/lhlxsglxggd.htm</w:t>
            </w:r>
          </w:p>
        </w:tc>
      </w:tr>
      <w:tr>
        <w:tblPrEx>
          <w:tblCellMar>
            <w:top w:w="28" w:type="dxa"/>
            <w:left w:w="57" w:type="dxa"/>
            <w:bottom w:w="28" w:type="dxa"/>
            <w:right w:w="57" w:type="dxa"/>
          </w:tblCellMar>
        </w:tblPrEx>
        <w:trPr>
          <w:trHeight w:val="850" w:hRule="exact"/>
        </w:trPr>
        <w:tc>
          <w:tcPr>
            <w:tcW w:w="521"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14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其他</w:t>
            </w:r>
          </w:p>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（2项）</w:t>
            </w: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（49）巡视组反馈意见，落实反馈意见整改情况</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http://xxgkw.whpu.edu.cn/info/1237/1061.htm</w:t>
            </w:r>
          </w:p>
        </w:tc>
      </w:tr>
      <w:tr>
        <w:tblPrEx>
          <w:tblCellMar>
            <w:top w:w="28" w:type="dxa"/>
            <w:left w:w="57" w:type="dxa"/>
            <w:bottom w:w="28" w:type="dxa"/>
            <w:right w:w="57" w:type="dxa"/>
          </w:tblCellMar>
        </w:tblPrEx>
        <w:trPr>
          <w:trHeight w:val="850" w:hRule="exact"/>
        </w:trPr>
        <w:tc>
          <w:tcPr>
            <w:tcW w:w="521"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napToGrid w:val="0"/>
              <w:jc w:val="left"/>
              <w:rPr>
                <w:rFonts w:ascii="宋体" w:hAnsi="宋体" w:cs="宋体"/>
                <w:color w:val="000000"/>
                <w:kern w:val="0"/>
                <w:sz w:val="22"/>
                <w:szCs w:val="22"/>
              </w:rPr>
            </w:pPr>
          </w:p>
        </w:tc>
        <w:tc>
          <w:tcPr>
            <w:tcW w:w="114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center"/>
              <w:rPr>
                <w:rFonts w:hint="eastAsia" w:ascii="仿宋_GB2312" w:hAnsi="微软雅黑" w:eastAsia="仿宋_GB2312" w:cs="宋体"/>
                <w:color w:val="333333"/>
                <w:kern w:val="0"/>
                <w:sz w:val="21"/>
                <w:szCs w:val="21"/>
              </w:rPr>
            </w:pPr>
          </w:p>
        </w:tc>
        <w:tc>
          <w:tcPr>
            <w:tcW w:w="6112" w:type="dxa"/>
            <w:tcBorders>
              <w:top w:val="nil"/>
              <w:left w:val="single" w:color="auto" w:sz="4" w:space="0"/>
              <w:bottom w:val="single" w:color="auto" w:sz="4" w:space="0"/>
              <w:right w:val="single" w:color="auto" w:sz="4" w:space="0"/>
            </w:tcBorders>
            <w:noWrap w:val="0"/>
            <w:vAlign w:val="center"/>
          </w:tcPr>
          <w:p>
            <w:pPr>
              <w:widowControl/>
              <w:spacing w:before="100" w:beforeAutospacing="1" w:after="100" w:afterAutospacing="1" w:line="240" w:lineRule="exact"/>
              <w:jc w:val="left"/>
              <w:rPr>
                <w:rFonts w:hint="eastAsia" w:ascii="仿宋_GB2312" w:hAnsi="微软雅黑" w:eastAsia="仿宋_GB2312" w:cs="宋体"/>
                <w:color w:val="333333"/>
                <w:kern w:val="0"/>
                <w:sz w:val="21"/>
                <w:szCs w:val="21"/>
              </w:rPr>
            </w:pPr>
            <w:r>
              <w:rPr>
                <w:rFonts w:hint="eastAsia" w:ascii="仿宋_GB2312" w:hAnsi="微软雅黑" w:eastAsia="仿宋_GB2312" w:cs="宋体"/>
                <w:color w:val="333333"/>
                <w:kern w:val="0"/>
                <w:sz w:val="21"/>
                <w:szCs w:val="21"/>
              </w:rPr>
              <w:t>（50）自然灾害等突发事件的应急处理预案、预警信息和处置情况，涉及学校的重大事件的调查和处理情况</w:t>
            </w:r>
          </w:p>
        </w:tc>
        <w:tc>
          <w:tcPr>
            <w:tcW w:w="6095" w:type="dxa"/>
            <w:tcBorders>
              <w:top w:val="nil"/>
              <w:left w:val="single" w:color="auto" w:sz="4" w:space="0"/>
              <w:bottom w:val="single" w:color="auto" w:sz="4" w:space="0"/>
              <w:right w:val="single" w:color="auto" w:sz="4" w:space="0"/>
            </w:tcBorders>
            <w:noWrap w:val="0"/>
            <w:vAlign w:val="center"/>
          </w:tcPr>
          <w:p>
            <w:pPr>
              <w:widowControl/>
              <w:snapToGrid w:val="0"/>
              <w:jc w:val="center"/>
              <w:rPr>
                <w:rFonts w:hint="eastAsia" w:ascii="宋体" w:hAnsi="宋体" w:cs="宋体"/>
                <w:color w:val="000000"/>
                <w:kern w:val="0"/>
                <w:sz w:val="22"/>
                <w:szCs w:val="22"/>
              </w:rPr>
            </w:pPr>
            <w:r>
              <w:rPr>
                <w:rFonts w:hint="eastAsia" w:ascii="宋体" w:hAnsi="宋体" w:cs="宋体"/>
                <w:color w:val="000000"/>
                <w:kern w:val="0"/>
                <w:sz w:val="22"/>
                <w:szCs w:val="22"/>
              </w:rPr>
              <w:t>http://xxgkw.whpu.edu.cn/zdgk1/qt/zrzhdtfsjdyjclya_yjxxhczqk_sjxxdzdsjddchclqk.htm</w:t>
            </w:r>
          </w:p>
        </w:tc>
      </w:tr>
    </w:tbl>
    <w:p>
      <w:pPr>
        <w:rPr>
          <w:rFonts w:hint="eastAsia" w:ascii="黑体" w:hAnsi="黑体" w:eastAsia="黑体" w:cs="黑体"/>
          <w:sz w:val="32"/>
          <w:szCs w:val="32"/>
          <w:lang w:val="en-US" w:eastAsia="zh-CN"/>
        </w:rPr>
      </w:pPr>
    </w:p>
    <w:sectPr>
      <w:pgSz w:w="16838" w:h="11906" w:orient="landscape"/>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0760E0"/>
    <w:rsid w:val="00A9572E"/>
    <w:rsid w:val="01D772E8"/>
    <w:rsid w:val="187C4B4C"/>
    <w:rsid w:val="190855FC"/>
    <w:rsid w:val="1A3F6CF6"/>
    <w:rsid w:val="1D3921F8"/>
    <w:rsid w:val="1F517243"/>
    <w:rsid w:val="262B0FB2"/>
    <w:rsid w:val="2E0760E0"/>
    <w:rsid w:val="3A061103"/>
    <w:rsid w:val="4EA077B4"/>
    <w:rsid w:val="55F05B8F"/>
    <w:rsid w:val="5695400A"/>
    <w:rsid w:val="5B267B42"/>
    <w:rsid w:val="666061F7"/>
    <w:rsid w:val="673477C2"/>
    <w:rsid w:val="676D6E68"/>
    <w:rsid w:val="6CCC4A03"/>
    <w:rsid w:val="75D6512D"/>
    <w:rsid w:val="7C663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2021-10-29T06:42:00Z</dcterms:created>
  <dc:creator>小朋友</dc:creator>
  <cp:lastModifiedBy>我的城市没有海</cp:lastModifiedBy>
  <dcterms:modified xsi:type="dcterms:W3CDTF">2024-03-22T01:43:30Z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AE705BC11E3A413B8C882865C563FB8A_13</vt:lpwstr>
  </property>
</Properties>
</file>